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EA5A" w14:textId="65B0D3FB" w:rsidR="00752B0B" w:rsidRPr="005C4599" w:rsidRDefault="00E32526">
      <w:pPr>
        <w:rPr>
          <w:rStyle w:val="Pogrubienie"/>
          <w:rFonts w:ascii="Poppins" w:hAnsi="Poppins" w:cs="Poppins"/>
          <w:color w:val="48465B"/>
          <w:sz w:val="40"/>
          <w:szCs w:val="40"/>
          <w:shd w:val="clear" w:color="auto" w:fill="FFFFFF"/>
        </w:rPr>
      </w:pPr>
      <w:r w:rsidRPr="005C4599">
        <w:rPr>
          <w:rStyle w:val="Pogrubienie"/>
          <w:rFonts w:ascii="Poppins" w:hAnsi="Poppins" w:cs="Poppins"/>
          <w:color w:val="48465B"/>
          <w:sz w:val="40"/>
          <w:szCs w:val="40"/>
          <w:shd w:val="clear" w:color="auto" w:fill="FFFFFF"/>
        </w:rPr>
        <w:t>Centra Usług Wspólnych (SSC) a proces zamknięcia miesiąca</w:t>
      </w:r>
    </w:p>
    <w:p w14:paraId="2DF1F2FD" w14:textId="77777777" w:rsidR="00D6142E" w:rsidRDefault="00E32526" w:rsidP="00E32526">
      <w:pPr>
        <w:shd w:val="clear" w:color="auto" w:fill="FFFFFF"/>
        <w:spacing w:before="225" w:after="225" w:line="360" w:lineRule="atLeast"/>
        <w:rPr>
          <w:rFonts w:ascii="Poppins" w:eastAsia="Times New Roman" w:hAnsi="Poppins" w:cs="Poppins"/>
          <w:b/>
          <w:bCs/>
          <w:color w:val="595D6E"/>
          <w:lang w:eastAsia="pl-PL"/>
        </w:rPr>
      </w:pPr>
      <w:r w:rsidRPr="00E32526">
        <w:rPr>
          <w:rFonts w:ascii="Poppins" w:eastAsia="Times New Roman" w:hAnsi="Poppins" w:cs="Poppins"/>
          <w:b/>
          <w:bCs/>
          <w:color w:val="595D6E"/>
          <w:lang w:eastAsia="pl-PL"/>
        </w:rPr>
        <w:t>To, co stanowi o istocie księgowania w przedsiębiorstwach</w:t>
      </w:r>
      <w:r w:rsidR="00D6142E">
        <w:rPr>
          <w:rFonts w:ascii="Poppins" w:eastAsia="Times New Roman" w:hAnsi="Poppins" w:cs="Poppins"/>
          <w:b/>
          <w:bCs/>
          <w:color w:val="595D6E"/>
          <w:lang w:eastAsia="pl-PL"/>
        </w:rPr>
        <w:t>?</w:t>
      </w:r>
      <w:r w:rsidRPr="00E32526">
        <w:rPr>
          <w:rFonts w:ascii="Poppins" w:eastAsia="Times New Roman" w:hAnsi="Poppins" w:cs="Poppins"/>
          <w:b/>
          <w:bCs/>
          <w:color w:val="595D6E"/>
          <w:lang w:eastAsia="pl-PL"/>
        </w:rPr>
        <w:t xml:space="preserve"> </w:t>
      </w:r>
      <w:r w:rsidR="00D6142E">
        <w:rPr>
          <w:rFonts w:ascii="Poppins" w:eastAsia="Times New Roman" w:hAnsi="Poppins" w:cs="Poppins"/>
          <w:b/>
          <w:bCs/>
          <w:color w:val="595D6E"/>
          <w:lang w:eastAsia="pl-PL"/>
        </w:rPr>
        <w:t>N</w:t>
      </w:r>
      <w:r w:rsidRPr="00E32526">
        <w:rPr>
          <w:rFonts w:ascii="Poppins" w:eastAsia="Times New Roman" w:hAnsi="Poppins" w:cs="Poppins"/>
          <w:b/>
          <w:bCs/>
          <w:color w:val="595D6E"/>
          <w:lang w:eastAsia="pl-PL"/>
        </w:rPr>
        <w:t>iezależnie od tego, czy są to firmy lokalne, czy międzynarodowi giganci – to przede wszystkim instrukcje, procedury i </w:t>
      </w:r>
      <w:hyperlink r:id="rId5" w:history="1">
        <w:r w:rsidRPr="00E32526">
          <w:rPr>
            <w:rFonts w:ascii="Poppins" w:eastAsia="Times New Roman" w:hAnsi="Poppins" w:cs="Poppins"/>
            <w:b/>
            <w:bCs/>
            <w:color w:val="DA9A0F"/>
            <w:lang w:eastAsia="pl-PL"/>
          </w:rPr>
          <w:t>system kontroli</w:t>
        </w:r>
      </w:hyperlink>
      <w:r w:rsidRPr="00E32526">
        <w:rPr>
          <w:rFonts w:ascii="Poppins" w:eastAsia="Times New Roman" w:hAnsi="Poppins" w:cs="Poppins"/>
          <w:b/>
          <w:bCs/>
          <w:color w:val="595D6E"/>
          <w:lang w:eastAsia="pl-PL"/>
        </w:rPr>
        <w:t xml:space="preserve">. </w:t>
      </w:r>
    </w:p>
    <w:p w14:paraId="17ABFF71" w14:textId="402386AA" w:rsidR="00E32526" w:rsidRPr="00E32526" w:rsidRDefault="00E32526" w:rsidP="00E32526">
      <w:pPr>
        <w:shd w:val="clear" w:color="auto" w:fill="FFFFFF"/>
        <w:spacing w:before="225" w:after="225" w:line="360" w:lineRule="atLeast"/>
        <w:rPr>
          <w:rFonts w:ascii="Poppins" w:eastAsia="Times New Roman" w:hAnsi="Poppins" w:cs="Poppins"/>
          <w:color w:val="595D6E"/>
          <w:lang w:eastAsia="pl-PL"/>
        </w:rPr>
      </w:pPr>
      <w:r w:rsidRPr="00E32526">
        <w:rPr>
          <w:rFonts w:ascii="Poppins" w:eastAsia="Times New Roman" w:hAnsi="Poppins" w:cs="Poppins"/>
          <w:b/>
          <w:bCs/>
          <w:color w:val="595D6E"/>
          <w:lang w:eastAsia="pl-PL"/>
        </w:rPr>
        <w:t>W firmach, gdzie komunikacja przebiega między wieloma działami i bardzo często znajdujących się w różnych lokalizacjach, może generować wiele potencjalnych problemów i kryzysów. Chyba, że w porę „uzbroimy się” w odpowiednie narzędzia wspierające procesy zarządzania firmą.</w:t>
      </w:r>
    </w:p>
    <w:p w14:paraId="3C735377" w14:textId="77777777" w:rsidR="00E32526" w:rsidRPr="00E32526" w:rsidRDefault="00E32526" w:rsidP="00E32526">
      <w:pPr>
        <w:shd w:val="clear" w:color="auto" w:fill="FFFFFF"/>
        <w:spacing w:after="0" w:line="240" w:lineRule="auto"/>
        <w:outlineLvl w:val="0"/>
        <w:rPr>
          <w:rFonts w:ascii="Poppins" w:eastAsia="Times New Roman" w:hAnsi="Poppins" w:cs="Poppins"/>
          <w:color w:val="000000"/>
          <w:kern w:val="36"/>
          <w:sz w:val="44"/>
          <w:szCs w:val="44"/>
          <w:lang w:eastAsia="pl-PL"/>
        </w:rPr>
      </w:pPr>
      <w:r w:rsidRPr="00E32526">
        <w:rPr>
          <w:rFonts w:ascii="Poppins" w:eastAsia="Times New Roman" w:hAnsi="Poppins" w:cs="Poppins"/>
          <w:b/>
          <w:bCs/>
          <w:color w:val="000000"/>
          <w:kern w:val="36"/>
          <w:sz w:val="44"/>
          <w:szCs w:val="44"/>
          <w:lang w:eastAsia="pl-PL"/>
        </w:rPr>
        <w:t>Organizacje SSC: co to takiego?</w:t>
      </w:r>
    </w:p>
    <w:p w14:paraId="2F55C5A9" w14:textId="77777777" w:rsidR="00E32526" w:rsidRPr="00E32526" w:rsidRDefault="00E32526" w:rsidP="00E32526">
      <w:pPr>
        <w:shd w:val="clear" w:color="auto" w:fill="FFFFFF"/>
        <w:spacing w:before="225" w:after="225" w:line="360" w:lineRule="atLeast"/>
        <w:rPr>
          <w:rFonts w:ascii="Poppins" w:eastAsia="Times New Roman" w:hAnsi="Poppins" w:cs="Poppins"/>
          <w:color w:val="595D6E"/>
          <w:lang w:eastAsia="pl-PL"/>
        </w:rPr>
      </w:pPr>
      <w:r w:rsidRPr="00E32526">
        <w:rPr>
          <w:rFonts w:ascii="Poppins" w:eastAsia="Times New Roman" w:hAnsi="Poppins" w:cs="Poppins"/>
          <w:color w:val="595D6E"/>
          <w:lang w:eastAsia="pl-PL"/>
        </w:rPr>
        <w:t>Podobnie jest w organizacjach określanych skrótowcem SSC. Co oznacza ta nazwa? SSC to skrót z angielskiego </w:t>
      </w:r>
      <w:r w:rsidRPr="00E32526">
        <w:rPr>
          <w:rFonts w:ascii="Poppins" w:eastAsia="Times New Roman" w:hAnsi="Poppins" w:cs="Poppins"/>
          <w:i/>
          <w:iCs/>
          <w:color w:val="595D6E"/>
          <w:lang w:eastAsia="pl-PL"/>
        </w:rPr>
        <w:t>„</w:t>
      </w:r>
      <w:proofErr w:type="spellStart"/>
      <w:r w:rsidRPr="00E32526">
        <w:rPr>
          <w:rFonts w:ascii="Poppins" w:eastAsia="Times New Roman" w:hAnsi="Poppins" w:cs="Poppins"/>
          <w:i/>
          <w:iCs/>
          <w:color w:val="595D6E"/>
          <w:lang w:eastAsia="pl-PL"/>
        </w:rPr>
        <w:t>Shared</w:t>
      </w:r>
      <w:proofErr w:type="spellEnd"/>
      <w:r w:rsidRPr="00E32526">
        <w:rPr>
          <w:rFonts w:ascii="Poppins" w:eastAsia="Times New Roman" w:hAnsi="Poppins" w:cs="Poppins"/>
          <w:i/>
          <w:iCs/>
          <w:color w:val="595D6E"/>
          <w:lang w:eastAsia="pl-PL"/>
        </w:rPr>
        <w:t xml:space="preserve"> Services </w:t>
      </w:r>
      <w:proofErr w:type="spellStart"/>
      <w:r w:rsidRPr="00E32526">
        <w:rPr>
          <w:rFonts w:ascii="Poppins" w:eastAsia="Times New Roman" w:hAnsi="Poppins" w:cs="Poppins"/>
          <w:i/>
          <w:iCs/>
          <w:color w:val="595D6E"/>
          <w:lang w:eastAsia="pl-PL"/>
        </w:rPr>
        <w:t>Centers</w:t>
      </w:r>
      <w:proofErr w:type="spellEnd"/>
      <w:r w:rsidRPr="00E32526">
        <w:rPr>
          <w:rFonts w:ascii="Poppins" w:eastAsia="Times New Roman" w:hAnsi="Poppins" w:cs="Poppins"/>
          <w:i/>
          <w:iCs/>
          <w:color w:val="595D6E"/>
          <w:lang w:eastAsia="pl-PL"/>
        </w:rPr>
        <w:t>”</w:t>
      </w:r>
      <w:r w:rsidRPr="00E32526">
        <w:rPr>
          <w:rFonts w:ascii="Poppins" w:eastAsia="Times New Roman" w:hAnsi="Poppins" w:cs="Poppins"/>
          <w:color w:val="595D6E"/>
          <w:lang w:eastAsia="pl-PL"/>
        </w:rPr>
        <w:t>, czyli centra usług wspólnych. Chodzi o wyodrębnione z danej firmy działy lub osobne podmioty gospodarcze, które – na rzecz „macierzystego” przedsiębiorstwa – świadczą różnorodne pomocnicze usługi, np. księgowość, HR, usługi IT czy zamówienia i zaopatrzenie.  Wyobraźmy sobie np. centrum księgowości obsługujące wszystkie szkoły na terenie danego miasta albo jeden podmiot obsługujący kadrowo kilka regionalnych oddziałów danej firmy. Odpowiedzialność – przeolbrzymia. Potencjalne ryzyko błędu – bardzo poważne…  </w:t>
      </w:r>
    </w:p>
    <w:p w14:paraId="088CBE89" w14:textId="77777777" w:rsidR="00E32526" w:rsidRPr="00E32526" w:rsidRDefault="00E32526" w:rsidP="00E32526">
      <w:pPr>
        <w:shd w:val="clear" w:color="auto" w:fill="FFFFFF"/>
        <w:spacing w:before="225" w:after="225" w:line="360" w:lineRule="atLeast"/>
        <w:rPr>
          <w:rFonts w:ascii="Poppins" w:eastAsia="Times New Roman" w:hAnsi="Poppins" w:cs="Poppins"/>
          <w:color w:val="595D6E"/>
          <w:lang w:eastAsia="pl-PL"/>
        </w:rPr>
      </w:pPr>
      <w:r w:rsidRPr="00E32526">
        <w:rPr>
          <w:rFonts w:ascii="Poppins" w:eastAsia="Times New Roman" w:hAnsi="Poppins" w:cs="Poppins"/>
          <w:color w:val="595D6E"/>
          <w:lang w:eastAsia="pl-PL"/>
        </w:rPr>
        <w:t>Mamy tu bowiem do czynienia z mnogością podmiotów, które – prowadząc różnego typu operacje – organizują proces zarządzania. Owa mnogość może być problematyczna i rodzić wiele potencjalnych niepowodzeń, zwłaszcza gdy kilka zespołów (często licznych) odpowiedzialnych jest za jakieś wspólne działanie (np. kwestie należności czy zobowiązań firmy).  Słowem: duża część pracy centrów usług wspólnych opierać się będzie na bardzo drobiazgowym zarządzaniu: zespołami, procedurami i realizacją poszczególnych etapów zadania.</w:t>
      </w:r>
    </w:p>
    <w:p w14:paraId="1A7654F4" w14:textId="77777777" w:rsidR="00E32526" w:rsidRPr="00E32526" w:rsidRDefault="00E32526" w:rsidP="00E32526">
      <w:pPr>
        <w:shd w:val="clear" w:color="auto" w:fill="FFFFFF"/>
        <w:spacing w:after="0" w:line="240" w:lineRule="auto"/>
        <w:outlineLvl w:val="0"/>
        <w:rPr>
          <w:rFonts w:ascii="Poppins" w:eastAsia="Times New Roman" w:hAnsi="Poppins" w:cs="Poppins"/>
          <w:color w:val="000000"/>
          <w:kern w:val="36"/>
          <w:sz w:val="44"/>
          <w:szCs w:val="44"/>
          <w:lang w:eastAsia="pl-PL"/>
        </w:rPr>
      </w:pPr>
      <w:r w:rsidRPr="00E32526">
        <w:rPr>
          <w:rFonts w:ascii="Poppins" w:eastAsia="Times New Roman" w:hAnsi="Poppins" w:cs="Poppins"/>
          <w:b/>
          <w:bCs/>
          <w:color w:val="000000"/>
          <w:kern w:val="36"/>
          <w:sz w:val="44"/>
          <w:szCs w:val="44"/>
          <w:lang w:eastAsia="pl-PL"/>
        </w:rPr>
        <w:t>Zarządzanie w organizacji SSC</w:t>
      </w:r>
    </w:p>
    <w:p w14:paraId="48A5DD8C" w14:textId="77777777" w:rsidR="00E32526" w:rsidRPr="00E32526" w:rsidRDefault="00E32526" w:rsidP="00E32526">
      <w:pPr>
        <w:shd w:val="clear" w:color="auto" w:fill="FFFFFF"/>
        <w:spacing w:before="225" w:after="225" w:line="360" w:lineRule="atLeast"/>
        <w:rPr>
          <w:rFonts w:ascii="Poppins" w:eastAsia="Times New Roman" w:hAnsi="Poppins" w:cs="Poppins"/>
          <w:color w:val="595D6E"/>
          <w:lang w:eastAsia="pl-PL"/>
        </w:rPr>
      </w:pPr>
      <w:r w:rsidRPr="00E32526">
        <w:rPr>
          <w:rFonts w:ascii="Poppins" w:eastAsia="Times New Roman" w:hAnsi="Poppins" w:cs="Poppins"/>
          <w:color w:val="595D6E"/>
          <w:lang w:eastAsia="pl-PL"/>
        </w:rPr>
        <w:t>Ważne jest zatem </w:t>
      </w:r>
      <w:hyperlink r:id="rId6" w:history="1">
        <w:r w:rsidRPr="00E32526">
          <w:rPr>
            <w:rFonts w:ascii="Poppins" w:eastAsia="Times New Roman" w:hAnsi="Poppins" w:cs="Poppins"/>
            <w:color w:val="DA9A0F"/>
            <w:lang w:eastAsia="pl-PL"/>
          </w:rPr>
          <w:t>wsparcie całego procesu zarządzania</w:t>
        </w:r>
      </w:hyperlink>
      <w:r w:rsidRPr="00E32526">
        <w:rPr>
          <w:rFonts w:ascii="Poppins" w:eastAsia="Times New Roman" w:hAnsi="Poppins" w:cs="Poppins"/>
          <w:color w:val="595D6E"/>
          <w:lang w:eastAsia="pl-PL"/>
        </w:rPr>
        <w:t>, aby efektywność pracy utrzymać na odpowiednim poziomie. Sprzyjać temu może pewnego rodzaju automatyzacja pracy, czyli wdrożenie jednego dużego systemu (bądź kilku mniejszych, dedykowanych konkretnym dziedzinom). Wszystko, co wpłynie na automatyzację i lepszy przepływ informacji (a nawet powszechny dostęp całego zespołu do jakiejś bazy danych) poprawi standard pracy. Poprawa standardu pracy oznacza tu również zwiększenie bezpieczeństwa, gdyż tak wdrożone zmiany zapewnią na przykład większą zastępowalność pracowników.</w:t>
      </w:r>
    </w:p>
    <w:p w14:paraId="1E311396" w14:textId="77777777" w:rsidR="00E32526" w:rsidRPr="00E32526" w:rsidRDefault="00E32526" w:rsidP="00E32526">
      <w:pPr>
        <w:shd w:val="clear" w:color="auto" w:fill="FFFFFF"/>
        <w:spacing w:before="225" w:after="225" w:line="360" w:lineRule="atLeast"/>
        <w:rPr>
          <w:rFonts w:ascii="Poppins" w:eastAsia="Times New Roman" w:hAnsi="Poppins" w:cs="Poppins"/>
          <w:color w:val="595D6E"/>
          <w:lang w:eastAsia="pl-PL"/>
        </w:rPr>
      </w:pPr>
      <w:r w:rsidRPr="00E32526">
        <w:rPr>
          <w:rFonts w:ascii="Poppins" w:eastAsia="Times New Roman" w:hAnsi="Poppins" w:cs="Poppins"/>
          <w:color w:val="595D6E"/>
          <w:lang w:eastAsia="pl-PL"/>
        </w:rPr>
        <w:lastRenderedPageBreak/>
        <w:br/>
        <w:t>Zresztą pomocny może okazać się sam podział jednego dużego procesu na pojedyncze zadania dla mniejszych zespołów roboczych, uwzględniając przy tym poszczególne kompetencje i kwalifikacje naszych współpracowników. Kluczowy jest także dostęp do wiedzy, rozumiany szeroko jako możliwość ciągłego poszerzania swoich kompetencji, ale również wąsko – jako codzienny dostęp do informacji i wszelkich „tajnikach” procedur.</w:t>
      </w:r>
      <w:r w:rsidRPr="00E32526">
        <w:rPr>
          <w:rFonts w:ascii="Poppins" w:eastAsia="Times New Roman" w:hAnsi="Poppins" w:cs="Poppins"/>
          <w:color w:val="595D6E"/>
          <w:lang w:eastAsia="pl-PL"/>
        </w:rPr>
        <w:br/>
      </w:r>
      <w:r w:rsidRPr="00E32526">
        <w:rPr>
          <w:rFonts w:ascii="Poppins" w:eastAsia="Times New Roman" w:hAnsi="Poppins" w:cs="Poppins"/>
          <w:color w:val="595D6E"/>
          <w:lang w:eastAsia="pl-PL"/>
        </w:rPr>
        <w:br/>
        <w:t>Przy organizacjach typu SSC, gdzie stale współpracują ze sobą pracownicy „macierzystego” przedsiębiorstwa z komórkami „obsługującymi” (działami lub podmiotami), właściwe utrzymanie odpowiedniego poziomu współpracy jest jeszcze bardziej problematyczne. Wydaje się, że bez odpowiednich narzędzi, ciężko będzie nam zapewnić właściwą obsługę, a przy tym zadowolenie z pracy samych pracowników.</w:t>
      </w:r>
    </w:p>
    <w:p w14:paraId="5BC91F28" w14:textId="77777777" w:rsidR="00E32526" w:rsidRPr="00E32526" w:rsidRDefault="00E32526" w:rsidP="00E32526">
      <w:pPr>
        <w:shd w:val="clear" w:color="auto" w:fill="FFFFFF"/>
        <w:spacing w:after="0" w:line="240" w:lineRule="auto"/>
        <w:outlineLvl w:val="0"/>
        <w:rPr>
          <w:rFonts w:ascii="Poppins" w:eastAsia="Times New Roman" w:hAnsi="Poppins" w:cs="Poppins"/>
          <w:color w:val="000000"/>
          <w:kern w:val="36"/>
          <w:sz w:val="44"/>
          <w:szCs w:val="44"/>
          <w:lang w:eastAsia="pl-PL"/>
        </w:rPr>
      </w:pPr>
      <w:r w:rsidRPr="00E32526">
        <w:rPr>
          <w:rFonts w:ascii="Poppins" w:eastAsia="Times New Roman" w:hAnsi="Poppins" w:cs="Poppins"/>
          <w:b/>
          <w:bCs/>
          <w:color w:val="000000"/>
          <w:kern w:val="36"/>
          <w:sz w:val="44"/>
          <w:szCs w:val="44"/>
          <w:lang w:eastAsia="pl-PL"/>
        </w:rPr>
        <w:t>System wspomagający zarządzanie w SSC</w:t>
      </w:r>
    </w:p>
    <w:p w14:paraId="4DBD2E2D" w14:textId="257BD03F" w:rsidR="00E32526" w:rsidRDefault="00E32526" w:rsidP="00E32526">
      <w:pPr>
        <w:shd w:val="clear" w:color="auto" w:fill="FFFFFF"/>
        <w:spacing w:before="225" w:after="225" w:line="360" w:lineRule="atLeast"/>
        <w:rPr>
          <w:rFonts w:ascii="Poppins" w:eastAsia="Times New Roman" w:hAnsi="Poppins" w:cs="Poppins"/>
          <w:color w:val="595D6E"/>
          <w:lang w:eastAsia="pl-PL"/>
        </w:rPr>
      </w:pPr>
      <w:r w:rsidRPr="00E32526">
        <w:rPr>
          <w:rFonts w:ascii="Poppins" w:eastAsia="Times New Roman" w:hAnsi="Poppins" w:cs="Poppins"/>
          <w:color w:val="595D6E"/>
          <w:lang w:eastAsia="pl-PL"/>
        </w:rPr>
        <w:t>Odpowiedzią na te potrzeby jest</w:t>
      </w:r>
      <w:hyperlink r:id="rId7" w:history="1">
        <w:r w:rsidRPr="00E32526">
          <w:rPr>
            <w:rFonts w:ascii="Poppins" w:eastAsia="Times New Roman" w:hAnsi="Poppins" w:cs="Poppins"/>
            <w:color w:val="DA9A0F"/>
            <w:lang w:eastAsia="pl-PL"/>
          </w:rPr>
          <w:t> FlexiClosing</w:t>
        </w:r>
      </w:hyperlink>
      <w:r w:rsidRPr="00E32526">
        <w:rPr>
          <w:rFonts w:ascii="Poppins" w:eastAsia="Times New Roman" w:hAnsi="Poppins" w:cs="Poppins"/>
          <w:color w:val="595D6E"/>
          <w:lang w:eastAsia="pl-PL"/>
        </w:rPr>
        <w:t> – program stworzony przez specjalistów od IT i księgowości, który w sposób intuicyjny pomaga nam zamknąć miesiąc w naszym przedsiębiorstwie. Zarówno w dużej firmie, mniejszym przedsiębiorstwie, jak również w instytucjach korzystających z centrów usług wspólnych. </w:t>
      </w:r>
      <w:hyperlink r:id="rId8" w:history="1">
        <w:r w:rsidRPr="00E32526">
          <w:rPr>
            <w:rFonts w:ascii="Poppins" w:eastAsia="Times New Roman" w:hAnsi="Poppins" w:cs="Poppins"/>
            <w:color w:val="DA9A0F"/>
            <w:lang w:eastAsia="pl-PL"/>
          </w:rPr>
          <w:t>FlexiClosing</w:t>
        </w:r>
      </w:hyperlink>
      <w:r w:rsidRPr="00E32526">
        <w:rPr>
          <w:rFonts w:ascii="Poppins" w:eastAsia="Times New Roman" w:hAnsi="Poppins" w:cs="Poppins"/>
          <w:color w:val="595D6E"/>
          <w:lang w:eastAsia="pl-PL"/>
        </w:rPr>
        <w:t> oferuje kompletne podejście do tego zadania: każdy z etapów zadań księgowych jest tu jasno określony, przez co możemy z wielu rożnych poziomów zarządzać całą pracą zespołu. FlexiClosing to także przejrzystość procedur. Wspomniana wyżej „dekompozycja procesów”, czyli rozbicie jednego skomplikowanego zadania na poszczególne pod-zadania w zespołach merytorycznych, jest tu możliwe dzięki funkcjonalności programu, który tworzyli praktycy księgowości.</w:t>
      </w:r>
    </w:p>
    <w:p w14:paraId="19F0C812" w14:textId="5969A7E2" w:rsidR="005C4599" w:rsidRPr="00E32526" w:rsidRDefault="005C4599" w:rsidP="00E32526">
      <w:pPr>
        <w:shd w:val="clear" w:color="auto" w:fill="FFFFFF"/>
        <w:spacing w:before="225" w:after="225" w:line="360" w:lineRule="atLeast"/>
        <w:rPr>
          <w:rFonts w:ascii="Poppins" w:eastAsia="Times New Roman" w:hAnsi="Poppins" w:cs="Poppins"/>
          <w:color w:val="595D6E"/>
          <w:lang w:eastAsia="pl-PL"/>
        </w:rPr>
      </w:pPr>
      <w:r>
        <w:rPr>
          <w:rFonts w:ascii="Poppins" w:eastAsia="Times New Roman" w:hAnsi="Poppins" w:cs="Poppins"/>
          <w:color w:val="595D6E"/>
          <w:lang w:eastAsia="pl-PL"/>
        </w:rPr>
        <w:t xml:space="preserve">Więcej o korzyściach wdrożenia systemu FlexiClosing znajdziesz w pełnej wersji wpisu: </w:t>
      </w:r>
      <w:hyperlink r:id="rId9" w:history="1">
        <w:r w:rsidRPr="001D36EC">
          <w:rPr>
            <w:rStyle w:val="Hipercze"/>
            <w:rFonts w:ascii="Poppins" w:eastAsia="Times New Roman" w:hAnsi="Poppins" w:cs="Poppins"/>
            <w:lang w:eastAsia="pl-PL"/>
          </w:rPr>
          <w:t>https://flexiclosing.pl/zarzadzanie-procesem-zamkniecia-miesiaca-w-organizacjach-typy-ssc/</w:t>
        </w:r>
      </w:hyperlink>
      <w:r>
        <w:rPr>
          <w:rFonts w:ascii="Poppins" w:eastAsia="Times New Roman" w:hAnsi="Poppins" w:cs="Poppins"/>
          <w:color w:val="595D6E"/>
          <w:lang w:eastAsia="pl-PL"/>
        </w:rPr>
        <w:t xml:space="preserve"> </w:t>
      </w:r>
    </w:p>
    <w:p w14:paraId="4BC11F12" w14:textId="09E5850B" w:rsidR="00E32526" w:rsidRPr="005C4599" w:rsidRDefault="00E32526">
      <w:pPr>
        <w:rPr>
          <w:sz w:val="20"/>
          <w:szCs w:val="20"/>
        </w:rPr>
      </w:pPr>
    </w:p>
    <w:p w14:paraId="452DB484" w14:textId="0572FB4C" w:rsidR="007202C9" w:rsidRPr="005C4599" w:rsidRDefault="007202C9">
      <w:pPr>
        <w:rPr>
          <w:sz w:val="20"/>
          <w:szCs w:val="20"/>
        </w:rPr>
      </w:pPr>
    </w:p>
    <w:p w14:paraId="271F4483" w14:textId="75942E60" w:rsidR="007202C9" w:rsidRPr="005C4599" w:rsidRDefault="007202C9">
      <w:pPr>
        <w:rPr>
          <w:sz w:val="20"/>
          <w:szCs w:val="20"/>
        </w:rPr>
      </w:pPr>
    </w:p>
    <w:p w14:paraId="50C42271" w14:textId="0F6A35C6" w:rsidR="007202C9" w:rsidRPr="005C4599" w:rsidRDefault="007202C9">
      <w:pPr>
        <w:rPr>
          <w:sz w:val="20"/>
          <w:szCs w:val="20"/>
        </w:rPr>
      </w:pPr>
    </w:p>
    <w:p w14:paraId="789DB5E8" w14:textId="55588256" w:rsidR="007202C9" w:rsidRPr="005C4599" w:rsidRDefault="007202C9">
      <w:pPr>
        <w:rPr>
          <w:sz w:val="20"/>
          <w:szCs w:val="20"/>
        </w:rPr>
      </w:pPr>
    </w:p>
    <w:p w14:paraId="3F8CFD3A" w14:textId="1EDB67B3" w:rsidR="007202C9" w:rsidRPr="005C4599" w:rsidRDefault="007202C9">
      <w:pPr>
        <w:rPr>
          <w:sz w:val="20"/>
          <w:szCs w:val="20"/>
        </w:rPr>
      </w:pPr>
    </w:p>
    <w:p w14:paraId="177B6F18" w14:textId="1B2BF138" w:rsidR="00766D4C" w:rsidRPr="005C4599" w:rsidRDefault="00A5124A">
      <w:pPr>
        <w:rPr>
          <w:sz w:val="20"/>
          <w:szCs w:val="20"/>
        </w:rPr>
      </w:pPr>
      <w:r w:rsidRPr="005C4599">
        <w:rPr>
          <w:sz w:val="20"/>
          <w:szCs w:val="20"/>
        </w:rPr>
        <w:t xml:space="preserve"> </w:t>
      </w:r>
    </w:p>
    <w:sectPr w:rsidR="00766D4C" w:rsidRPr="005C4599" w:rsidSect="00E325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F389D"/>
    <w:multiLevelType w:val="hybridMultilevel"/>
    <w:tmpl w:val="9528B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E0"/>
    <w:rsid w:val="00137C7D"/>
    <w:rsid w:val="002C4DEF"/>
    <w:rsid w:val="003F1D0A"/>
    <w:rsid w:val="00594714"/>
    <w:rsid w:val="005C4599"/>
    <w:rsid w:val="00642D4D"/>
    <w:rsid w:val="00697BBB"/>
    <w:rsid w:val="006D0BCE"/>
    <w:rsid w:val="007202C9"/>
    <w:rsid w:val="00732140"/>
    <w:rsid w:val="00752B0B"/>
    <w:rsid w:val="00757A62"/>
    <w:rsid w:val="00762CE0"/>
    <w:rsid w:val="00766D4C"/>
    <w:rsid w:val="00A5124A"/>
    <w:rsid w:val="00AB330D"/>
    <w:rsid w:val="00D6142E"/>
    <w:rsid w:val="00E32526"/>
    <w:rsid w:val="00E83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3B46"/>
  <w15:chartTrackingRefBased/>
  <w15:docId w15:val="{315081E2-104B-43A1-BB08-2E8B9E54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E32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32526"/>
    <w:rPr>
      <w:b/>
      <w:bCs/>
    </w:rPr>
  </w:style>
  <w:style w:type="character" w:customStyle="1" w:styleId="Nagwek1Znak">
    <w:name w:val="Nagłówek 1 Znak"/>
    <w:basedOn w:val="Domylnaczcionkaakapitu"/>
    <w:link w:val="Nagwek1"/>
    <w:uiPriority w:val="9"/>
    <w:rsid w:val="00E32526"/>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E325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32526"/>
    <w:rPr>
      <w:color w:val="0000FF"/>
      <w:u w:val="single"/>
    </w:rPr>
  </w:style>
  <w:style w:type="character" w:styleId="Uwydatnienie">
    <w:name w:val="Emphasis"/>
    <w:basedOn w:val="Domylnaczcionkaakapitu"/>
    <w:uiPriority w:val="20"/>
    <w:qFormat/>
    <w:rsid w:val="00E32526"/>
    <w:rPr>
      <w:i/>
      <w:iCs/>
    </w:rPr>
  </w:style>
  <w:style w:type="paragraph" w:styleId="Akapitzlist">
    <w:name w:val="List Paragraph"/>
    <w:basedOn w:val="Normalny"/>
    <w:uiPriority w:val="34"/>
    <w:qFormat/>
    <w:rsid w:val="00732140"/>
    <w:pPr>
      <w:ind w:left="720"/>
      <w:contextualSpacing/>
    </w:pPr>
  </w:style>
  <w:style w:type="character" w:styleId="Nierozpoznanawzmianka">
    <w:name w:val="Unresolved Mention"/>
    <w:basedOn w:val="Domylnaczcionkaakapitu"/>
    <w:uiPriority w:val="99"/>
    <w:semiHidden/>
    <w:unhideWhenUsed/>
    <w:rsid w:val="005C4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3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exiclosing.pl/produkty/flexiclosing/" TargetMode="External"/><Relationship Id="rId3" Type="http://schemas.openxmlformats.org/officeDocument/2006/relationships/settings" Target="settings.xml"/><Relationship Id="rId7" Type="http://schemas.openxmlformats.org/officeDocument/2006/relationships/hyperlink" Target="https://flexiclosing.pl/produkty/flexiclo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exiclosing.pl/zastosowanie/dla-dyrektora-finansowego/" TargetMode="External"/><Relationship Id="rId11" Type="http://schemas.openxmlformats.org/officeDocument/2006/relationships/theme" Target="theme/theme1.xml"/><Relationship Id="rId5" Type="http://schemas.openxmlformats.org/officeDocument/2006/relationships/hyperlink" Target="https://flexiclosing.pl/zastosowanie/dla-dyrektora-finansoweg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lexiclosing.pl/zarzadzanie-procesem-zamkniecia-miesiaca-w-organizacjach-typy-ss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646</Words>
  <Characters>3879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Krupa</dc:creator>
  <cp:keywords/>
  <dc:description/>
  <cp:lastModifiedBy>Katarzyna Krupa</cp:lastModifiedBy>
  <cp:revision>15</cp:revision>
  <dcterms:created xsi:type="dcterms:W3CDTF">2022-08-05T08:55:00Z</dcterms:created>
  <dcterms:modified xsi:type="dcterms:W3CDTF">2022-08-05T10:36:00Z</dcterms:modified>
</cp:coreProperties>
</file>